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AF" w:rsidRPr="0072364E" w:rsidRDefault="00722DAF" w:rsidP="00722DAF">
      <w:pPr>
        <w:pStyle w:val="1"/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72364E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E22A9C">
        <w:rPr>
          <w:rFonts w:ascii="Times New Roman" w:eastAsia="Calibri" w:hAnsi="Times New Roman"/>
          <w:bCs w:val="0"/>
          <w:color w:val="auto"/>
          <w:sz w:val="24"/>
          <w:szCs w:val="24"/>
        </w:rPr>
        <w:t>МУП «АЭС»</w:t>
      </w:r>
    </w:p>
    <w:p w:rsidR="007461B1" w:rsidRPr="0072364E" w:rsidRDefault="007461B1" w:rsidP="007461B1">
      <w:pPr>
        <w:jc w:val="center"/>
        <w:rPr>
          <w:rFonts w:eastAsia="Calibri"/>
          <w:lang w:eastAsia="en-US"/>
        </w:rPr>
      </w:pPr>
    </w:p>
    <w:p w:rsidR="00722DAF" w:rsidRPr="0072364E" w:rsidRDefault="00722DAF" w:rsidP="007461B1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72364E">
        <w:rPr>
          <w:b/>
        </w:rPr>
        <w:t>ТЕХНОЛОГИЧЕСКОЕ ПРИСОЕДИНЕНИЕ К ЭЛЕКТРИЧЕСКИМ СЕТЯМ</w:t>
      </w:r>
    </w:p>
    <w:p w:rsidR="00EA4C73" w:rsidRPr="0072364E" w:rsidRDefault="00722DAF" w:rsidP="007461B1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2364E">
        <w:rPr>
          <w:b/>
          <w:sz w:val="22"/>
          <w:szCs w:val="22"/>
        </w:rPr>
        <w:t>физические лица, максимальная мощность до 15 кВт по 3 категории надежности</w:t>
      </w:r>
      <w:r w:rsidR="00EA4C73" w:rsidRPr="0072364E">
        <w:rPr>
          <w:b/>
          <w:sz w:val="22"/>
          <w:szCs w:val="22"/>
        </w:rPr>
        <w:t>, для бытовых и иных нужд, не связанных с осуществлением предпринимательской деятельности, по уровню напряжения не более 0,4 кВ.</w:t>
      </w:r>
    </w:p>
    <w:p w:rsidR="00722DAF" w:rsidRPr="0072364E" w:rsidRDefault="00722DAF" w:rsidP="00722DAF">
      <w:pPr>
        <w:autoSpaceDE w:val="0"/>
        <w:autoSpaceDN w:val="0"/>
        <w:adjustRightInd w:val="0"/>
        <w:jc w:val="center"/>
        <w:rPr>
          <w:b/>
        </w:rPr>
      </w:pPr>
    </w:p>
    <w:p w:rsidR="00767CB8" w:rsidRPr="0072364E" w:rsidRDefault="00767CB8" w:rsidP="00767CB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86B65" w:rsidRPr="0072364E" w:rsidRDefault="00767CB8" w:rsidP="00767CB8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Потребитель</w:t>
      </w:r>
      <w:r w:rsidRPr="0072364E">
        <w:rPr>
          <w:sz w:val="22"/>
          <w:szCs w:val="22"/>
        </w:rPr>
        <w:t xml:space="preserve">: </w:t>
      </w:r>
      <w:r w:rsidR="0099428B" w:rsidRPr="0072364E">
        <w:rPr>
          <w:b/>
          <w:sz w:val="22"/>
          <w:szCs w:val="22"/>
        </w:rPr>
        <w:t>физические лица</w:t>
      </w:r>
      <w:r w:rsidR="00722DAF" w:rsidRPr="0072364E">
        <w:rPr>
          <w:b/>
          <w:sz w:val="22"/>
          <w:szCs w:val="22"/>
        </w:rPr>
        <w:t>,</w:t>
      </w:r>
      <w:r w:rsidR="0075299C" w:rsidRPr="0072364E">
        <w:rPr>
          <w:b/>
          <w:sz w:val="22"/>
          <w:szCs w:val="22"/>
        </w:rPr>
        <w:t xml:space="preserve"> максимальная мощность до 15 кВт по 3 категории надежности</w:t>
      </w:r>
      <w:r w:rsidR="00C86B65" w:rsidRPr="0072364E">
        <w:rPr>
          <w:b/>
          <w:sz w:val="22"/>
          <w:szCs w:val="22"/>
        </w:rPr>
        <w:t xml:space="preserve">, для бытовых и иных нужд, не связанных с осуществлением предпринимательской деятельности, </w:t>
      </w:r>
      <w:r w:rsidR="00CB72F0" w:rsidRPr="0072364E">
        <w:rPr>
          <w:b/>
          <w:sz w:val="22"/>
          <w:szCs w:val="22"/>
        </w:rPr>
        <w:t>по уровню напряжения не более 0,4 кВ.</w:t>
      </w:r>
    </w:p>
    <w:p w:rsidR="00C86B65" w:rsidRPr="0072364E" w:rsidRDefault="00C86B65" w:rsidP="00767CB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C86B65" w:rsidRPr="0072364E" w:rsidRDefault="00767CB8" w:rsidP="00F9024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 xml:space="preserve">): </w:t>
      </w:r>
    </w:p>
    <w:p w:rsidR="00886444" w:rsidRDefault="00886444" w:rsidP="00A85248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7713F7">
        <w:rPr>
          <w:color w:val="000000"/>
          <w:sz w:val="22"/>
          <w:szCs w:val="22"/>
        </w:rPr>
        <w:t>азмер плат</w:t>
      </w:r>
      <w:r>
        <w:rPr>
          <w:color w:val="000000"/>
          <w:sz w:val="22"/>
          <w:szCs w:val="22"/>
        </w:rPr>
        <w:t xml:space="preserve">ы за </w:t>
      </w:r>
      <w:r w:rsidRPr="007713F7">
        <w:rPr>
          <w:color w:val="000000"/>
          <w:sz w:val="22"/>
          <w:szCs w:val="22"/>
        </w:rPr>
        <w:t xml:space="preserve">технологическое присоединение рассчитывается исходя из </w:t>
      </w:r>
      <w:r w:rsidR="00A85248">
        <w:t xml:space="preserve">стоимости мероприятий по технологическому присоединению, </w:t>
      </w:r>
      <w:r w:rsidR="00A85248" w:rsidRPr="00A85248">
        <w:rPr>
          <w:sz w:val="22"/>
          <w:szCs w:val="22"/>
        </w:rPr>
        <w:t xml:space="preserve">рассчитанных с применением стандартизированных тарифных ставок; </w:t>
      </w:r>
      <w:proofErr w:type="gramStart"/>
      <w:r w:rsidR="00A85248" w:rsidRPr="00A85248">
        <w:rPr>
          <w:color w:val="000000"/>
          <w:sz w:val="22"/>
          <w:szCs w:val="22"/>
        </w:rPr>
        <w:t xml:space="preserve">утвержденных на период регулирования уполномоченным органом исполнительной власти в области государственного регулирования тарифов либо </w:t>
      </w:r>
      <w:r w:rsidR="00A85248" w:rsidRPr="00A85248">
        <w:rPr>
          <w:sz w:val="22"/>
          <w:szCs w:val="22"/>
        </w:rPr>
        <w:t>стоимости мероприятий по технологическому присоединению, рассчитанной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</w:t>
      </w:r>
      <w:r w:rsidR="00A85248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Либо льготным тарифом, если для данной категории заявителей на момент подачи заявки льгота предусмотрена Правилами 861 ПП.</w:t>
      </w:r>
    </w:p>
    <w:p w:rsidR="00A85248" w:rsidRDefault="00A85248" w:rsidP="008864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0A0763" w:rsidRPr="000B3D13" w:rsidRDefault="000A0763" w:rsidP="008864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A0763">
        <w:rPr>
          <w:color w:val="000000" w:themeColor="text1"/>
          <w:sz w:val="22"/>
          <w:szCs w:val="22"/>
        </w:rPr>
        <w:t>Льготный размер платы не применяется в случаях:</w:t>
      </w:r>
    </w:p>
    <w:p w:rsidR="004533B9" w:rsidRDefault="004533B9" w:rsidP="004533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при технологическом присоединении энергопринимающих устройств,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4533B9" w:rsidRDefault="004533B9" w:rsidP="004533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-при технологическом присоединении энергопринимающих устройств, расположенных в жилых помещениях многоквартирных домов;</w:t>
      </w:r>
    </w:p>
    <w:p w:rsidR="004533B9" w:rsidRDefault="004533B9" w:rsidP="004533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>-при технологическом присоединении в границах территории субъекта Российской Федерации энергопринимающих устройств, соответствующих критериям, указанным в </w:t>
      </w:r>
      <w:hyperlink r:id="rId9" w:anchor="/document/187740/entry/4017" w:history="1">
        <w:r>
          <w:rPr>
            <w:rStyle w:val="af"/>
            <w:color w:val="3272C0"/>
            <w:sz w:val="23"/>
            <w:szCs w:val="23"/>
          </w:rPr>
          <w:t>абзацах первом</w:t>
        </w:r>
      </w:hyperlink>
      <w:r>
        <w:rPr>
          <w:color w:val="22272F"/>
          <w:sz w:val="23"/>
          <w:szCs w:val="23"/>
        </w:rPr>
        <w:t>, </w:t>
      </w:r>
      <w:hyperlink r:id="rId10" w:anchor="/document/187740/entry/40174" w:history="1">
        <w:r>
          <w:rPr>
            <w:rStyle w:val="af"/>
            <w:color w:val="3272C0"/>
            <w:sz w:val="23"/>
            <w:szCs w:val="23"/>
          </w:rPr>
          <w:t>четвертом</w:t>
        </w:r>
      </w:hyperlink>
      <w:r>
        <w:rPr>
          <w:color w:val="22272F"/>
          <w:sz w:val="23"/>
          <w:szCs w:val="23"/>
        </w:rPr>
        <w:t>, </w:t>
      </w:r>
      <w:hyperlink r:id="rId11" w:anchor="/document/187740/entry/400175" w:history="1">
        <w:r>
          <w:rPr>
            <w:rStyle w:val="af"/>
            <w:color w:val="3272C0"/>
            <w:sz w:val="23"/>
            <w:szCs w:val="23"/>
          </w:rPr>
          <w:t>пятом</w:t>
        </w:r>
      </w:hyperlink>
      <w:r>
        <w:rPr>
          <w:color w:val="22272F"/>
          <w:sz w:val="23"/>
          <w:szCs w:val="23"/>
        </w:rPr>
        <w:t>, </w:t>
      </w:r>
      <w:hyperlink r:id="rId12" w:anchor="/document/187740/entry/401720" w:history="1">
        <w:r>
          <w:rPr>
            <w:rStyle w:val="af"/>
            <w:color w:val="3272C0"/>
            <w:sz w:val="23"/>
            <w:szCs w:val="23"/>
          </w:rPr>
          <w:t>двадцатом</w:t>
        </w:r>
      </w:hyperlink>
      <w:r>
        <w:rPr>
          <w:color w:val="22272F"/>
          <w:sz w:val="23"/>
          <w:szCs w:val="23"/>
        </w:rPr>
        <w:t> и </w:t>
      </w:r>
      <w:hyperlink r:id="rId13" w:anchor="/document/187740/entry/401726" w:history="1">
        <w:r>
          <w:rPr>
            <w:rStyle w:val="af"/>
            <w:color w:val="3272C0"/>
            <w:sz w:val="23"/>
            <w:szCs w:val="23"/>
          </w:rPr>
          <w:t>двадцать шестом</w:t>
        </w:r>
      </w:hyperlink>
      <w:r>
        <w:rPr>
          <w:color w:val="22272F"/>
          <w:sz w:val="23"/>
          <w:szCs w:val="23"/>
        </w:rPr>
        <w:t xml:space="preserve"> 17 пункта Правил </w:t>
      </w:r>
      <w:r w:rsidR="00886444">
        <w:rPr>
          <w:color w:val="22272F"/>
          <w:sz w:val="23"/>
          <w:szCs w:val="23"/>
        </w:rPr>
        <w:t>ТП</w:t>
      </w:r>
      <w:r>
        <w:rPr>
          <w:color w:val="22272F"/>
          <w:sz w:val="23"/>
          <w:szCs w:val="23"/>
        </w:rPr>
        <w:t xml:space="preserve">, если лицом, обратившимся с заявкой,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энергопринимающих устройств (объектов </w:t>
      </w:r>
      <w:proofErr w:type="spellStart"/>
      <w:r>
        <w:rPr>
          <w:color w:val="22272F"/>
          <w:sz w:val="23"/>
          <w:szCs w:val="23"/>
        </w:rPr>
        <w:t>микрогенерации</w:t>
      </w:r>
      <w:proofErr w:type="spellEnd"/>
      <w:r>
        <w:rPr>
          <w:color w:val="22272F"/>
          <w:sz w:val="23"/>
          <w:szCs w:val="23"/>
        </w:rPr>
        <w:t>), соответствующих указанным критериям</w:t>
      </w:r>
      <w:proofErr w:type="gramEnd"/>
      <w:r>
        <w:rPr>
          <w:color w:val="22272F"/>
          <w:sz w:val="23"/>
          <w:szCs w:val="23"/>
        </w:rPr>
        <w:t xml:space="preserve">, </w:t>
      </w:r>
      <w:proofErr w:type="gramStart"/>
      <w:r>
        <w:rPr>
          <w:color w:val="22272F"/>
          <w:sz w:val="23"/>
          <w:szCs w:val="23"/>
        </w:rPr>
        <w:t>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  <w:proofErr w:type="gramEnd"/>
    </w:p>
    <w:p w:rsidR="00A85248" w:rsidRDefault="00A85248" w:rsidP="00A852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</w:p>
    <w:p w:rsidR="00C31888" w:rsidRDefault="00C86B65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0B3D13">
        <w:rPr>
          <w:sz w:val="22"/>
          <w:szCs w:val="22"/>
        </w:rPr>
        <w:t>В случае отсутствия указанных критериев</w:t>
      </w:r>
      <w:r w:rsidR="004533B9">
        <w:rPr>
          <w:sz w:val="22"/>
          <w:szCs w:val="22"/>
        </w:rPr>
        <w:t>,</w:t>
      </w:r>
      <w:r w:rsidRPr="000B3D13">
        <w:rPr>
          <w:sz w:val="22"/>
          <w:szCs w:val="22"/>
        </w:rPr>
        <w:t xml:space="preserve"> размер платы за технологическое присоединение рассчитывается в соответствии со ставками</w:t>
      </w:r>
      <w:r w:rsidRPr="0072364E">
        <w:rPr>
          <w:sz w:val="22"/>
          <w:szCs w:val="22"/>
        </w:rPr>
        <w:t xml:space="preserve"> платы утвержденными уполномоченным органом исполнительной власти в области государственного регулирования</w:t>
      </w:r>
      <w:r w:rsidR="00C31888">
        <w:rPr>
          <w:sz w:val="22"/>
          <w:szCs w:val="22"/>
        </w:rPr>
        <w:t>.</w:t>
      </w:r>
      <w:r w:rsidRPr="0072364E">
        <w:rPr>
          <w:sz w:val="22"/>
          <w:szCs w:val="22"/>
        </w:rPr>
        <w:t xml:space="preserve"> </w:t>
      </w:r>
    </w:p>
    <w:p w:rsidR="00F56404" w:rsidRPr="0072364E" w:rsidRDefault="00767CB8" w:rsidP="00B30D2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Условия оказания услуг (процесса):</w:t>
      </w:r>
      <w:r w:rsidRPr="0072364E">
        <w:rPr>
          <w:sz w:val="22"/>
          <w:szCs w:val="22"/>
        </w:rPr>
        <w:t xml:space="preserve"> </w:t>
      </w:r>
    </w:p>
    <w:p w:rsidR="00C86B65" w:rsidRPr="0072364E" w:rsidRDefault="000D74C2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З</w:t>
      </w:r>
      <w:r w:rsidR="00C86B65" w:rsidRPr="0072364E">
        <w:rPr>
          <w:sz w:val="22"/>
          <w:szCs w:val="22"/>
        </w:rPr>
        <w:t xml:space="preserve">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</w:t>
      </w:r>
      <w:r w:rsidR="00722DAF" w:rsidRPr="0072364E">
        <w:rPr>
          <w:sz w:val="22"/>
          <w:szCs w:val="22"/>
        </w:rPr>
        <w:t>которых увеличивается, а также в</w:t>
      </w:r>
      <w:r w:rsidR="00C86B65" w:rsidRPr="0072364E">
        <w:rPr>
          <w:sz w:val="22"/>
          <w:szCs w:val="22"/>
        </w:rPr>
        <w:t xml:space="preserve"> случа</w:t>
      </w:r>
      <w:r w:rsidR="00722DAF" w:rsidRPr="0072364E">
        <w:rPr>
          <w:sz w:val="22"/>
          <w:szCs w:val="22"/>
        </w:rPr>
        <w:t>ях</w:t>
      </w:r>
      <w:r w:rsidR="00C86B65" w:rsidRPr="0072364E">
        <w:rPr>
          <w:sz w:val="22"/>
          <w:szCs w:val="22"/>
        </w:rPr>
        <w:t>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610605" w:rsidRPr="0072364E" w:rsidRDefault="00CB213A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lastRenderedPageBreak/>
        <w:t xml:space="preserve">Заявка на  осуществление технологического присоединения </w:t>
      </w:r>
      <w:r w:rsidRPr="0072364E">
        <w:rPr>
          <w:sz w:val="22"/>
          <w:szCs w:val="22"/>
          <w:shd w:val="clear" w:color="auto" w:fill="FFFFFF"/>
        </w:rPr>
        <w:t xml:space="preserve">энергопринимающих устройств, относящихся к имуществу общего </w:t>
      </w:r>
      <w:r w:rsidR="009B7D6C" w:rsidRPr="0072364E">
        <w:rPr>
          <w:sz w:val="22"/>
          <w:szCs w:val="22"/>
          <w:shd w:val="clear" w:color="auto" w:fill="FFFFFF"/>
        </w:rPr>
        <w:t>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 мощности присоединяемых устройств.</w:t>
      </w:r>
    </w:p>
    <w:p w:rsidR="00C86B65" w:rsidRPr="0072364E" w:rsidRDefault="00C86B65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D35A05" w:rsidRPr="00C31888" w:rsidRDefault="00D35A05" w:rsidP="00FC4008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  <w:shd w:val="clear" w:color="auto" w:fill="FFFFFF"/>
        </w:rPr>
        <w:t xml:space="preserve">Заявка </w:t>
      </w:r>
      <w:r w:rsidRPr="0072364E">
        <w:rPr>
          <w:sz w:val="22"/>
          <w:szCs w:val="22"/>
        </w:rPr>
        <w:t>на осуществление технологического присоединения энергопринимающих устройств</w:t>
      </w:r>
      <w:r w:rsidRPr="0072364E">
        <w:rPr>
          <w:sz w:val="22"/>
          <w:szCs w:val="22"/>
          <w:shd w:val="clear" w:color="auto" w:fill="FFFFFF"/>
        </w:rPr>
        <w:t xml:space="preserve"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помещений, в том числе в многоквартирном доме, а при непосредственном управлении многоквартирным домом - одним из </w:t>
      </w:r>
      <w:r w:rsidRPr="00C31888">
        <w:rPr>
          <w:sz w:val="22"/>
          <w:szCs w:val="22"/>
          <w:shd w:val="clear" w:color="auto" w:fill="FFFFFF"/>
        </w:rPr>
        <w:t>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75299C" w:rsidRPr="00C31888" w:rsidRDefault="0075299C" w:rsidP="000D74C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31888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="00C86B65" w:rsidRPr="00C31888">
        <w:rPr>
          <w:sz w:val="22"/>
          <w:szCs w:val="22"/>
        </w:rPr>
        <w:t>технологическое присоединения энергопринимающих устройств Заявителя к сетям</w:t>
      </w:r>
      <w:r w:rsidR="00E22A9C">
        <w:rPr>
          <w:sz w:val="22"/>
          <w:szCs w:val="22"/>
        </w:rPr>
        <w:t xml:space="preserve"> МУП «АЭС»</w:t>
      </w:r>
      <w:r w:rsidR="00C86B65" w:rsidRPr="00C31888">
        <w:rPr>
          <w:sz w:val="22"/>
          <w:szCs w:val="22"/>
        </w:rPr>
        <w:t>.</w:t>
      </w:r>
    </w:p>
    <w:p w:rsidR="0075299C" w:rsidRPr="00C31888" w:rsidRDefault="0075299C" w:rsidP="000D74C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31888">
        <w:rPr>
          <w:i/>
          <w:sz w:val="22"/>
          <w:szCs w:val="22"/>
          <w:u w:val="single"/>
        </w:rPr>
        <w:t>Общий срок оказания услуги (процесса)</w:t>
      </w:r>
      <w:r w:rsidRPr="00C31888">
        <w:rPr>
          <w:sz w:val="22"/>
          <w:szCs w:val="22"/>
        </w:rPr>
        <w:t>:</w:t>
      </w:r>
    </w:p>
    <w:p w:rsidR="00D9470A" w:rsidRPr="00C31888" w:rsidRDefault="00D9470A" w:rsidP="00FC4008">
      <w:pPr>
        <w:pStyle w:val="af0"/>
        <w:ind w:firstLine="709"/>
        <w:jc w:val="both"/>
        <w:rPr>
          <w:sz w:val="22"/>
          <w:szCs w:val="22"/>
        </w:rPr>
      </w:pPr>
      <w:r w:rsidRPr="00C31888">
        <w:rPr>
          <w:sz w:val="22"/>
          <w:szCs w:val="22"/>
        </w:rPr>
        <w:t xml:space="preserve">В случае технологического присоединения энергопринимающих устройств заявителя осуществляется к электрическим сетям классом напряжения 0,4 кВ и ниже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31888">
        <w:rPr>
          <w:sz w:val="22"/>
          <w:szCs w:val="22"/>
        </w:rPr>
        <w:t>энергопринимающие</w:t>
      </w:r>
      <w:proofErr w:type="spellEnd"/>
      <w:r w:rsidRPr="00C31888">
        <w:rPr>
          <w:sz w:val="22"/>
          <w:szCs w:val="22"/>
        </w:rPr>
        <w:t xml:space="preserve"> устройства, составляет не более 15 метров; 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электрической энергии (мощности) - </w:t>
      </w:r>
      <w:r w:rsidRPr="00C31888">
        <w:rPr>
          <w:sz w:val="22"/>
          <w:szCs w:val="22"/>
          <w:shd w:val="clear" w:color="auto" w:fill="FFFFFF"/>
        </w:rPr>
        <w:t>30 рабочих дней</w:t>
      </w:r>
      <w:r w:rsidRPr="00C31888">
        <w:rPr>
          <w:sz w:val="22"/>
          <w:szCs w:val="22"/>
        </w:rPr>
        <w:t xml:space="preserve"> с даты заключения договора</w:t>
      </w:r>
      <w:r w:rsidR="005E461E" w:rsidRPr="00C31888">
        <w:rPr>
          <w:sz w:val="22"/>
          <w:szCs w:val="22"/>
        </w:rPr>
        <w:t>.</w:t>
      </w:r>
    </w:p>
    <w:p w:rsidR="00C86B65" w:rsidRPr="00C31888" w:rsidRDefault="005E461E" w:rsidP="005E461E">
      <w:pPr>
        <w:pStyle w:val="af0"/>
        <w:ind w:firstLine="709"/>
        <w:jc w:val="both"/>
        <w:rPr>
          <w:sz w:val="22"/>
          <w:szCs w:val="22"/>
        </w:rPr>
      </w:pPr>
      <w:r w:rsidRPr="00C31888">
        <w:rPr>
          <w:sz w:val="22"/>
          <w:szCs w:val="22"/>
        </w:rPr>
        <w:t>При несоблюдении вышеуказанных условий, в</w:t>
      </w:r>
      <w:r w:rsidR="00C86B65" w:rsidRPr="00C31888">
        <w:rPr>
          <w:sz w:val="22"/>
          <w:szCs w:val="22"/>
        </w:rPr>
        <w:t xml:space="preserve">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C86B65" w:rsidRPr="00C31888">
        <w:rPr>
          <w:sz w:val="22"/>
          <w:szCs w:val="22"/>
        </w:rPr>
        <w:t>энергопринимающие</w:t>
      </w:r>
      <w:proofErr w:type="spellEnd"/>
      <w:r w:rsidR="00C86B65" w:rsidRPr="00C31888">
        <w:rPr>
          <w:sz w:val="22"/>
          <w:szCs w:val="22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4008" w:rsidRPr="00C31888">
        <w:rPr>
          <w:sz w:val="22"/>
          <w:szCs w:val="22"/>
          <w:shd w:val="clear" w:color="auto" w:fill="FFFFFF"/>
        </w:rPr>
        <w:t xml:space="preserve"> </w:t>
      </w:r>
      <w:r w:rsidR="00C86B65" w:rsidRPr="00C31888">
        <w:rPr>
          <w:sz w:val="22"/>
          <w:szCs w:val="22"/>
        </w:rPr>
        <w:t xml:space="preserve">- 6 месяцев с даты заключения договора. </w:t>
      </w:r>
    </w:p>
    <w:p w:rsidR="00C86B65" w:rsidRPr="0072364E" w:rsidRDefault="00C86B65" w:rsidP="00FC4008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C31888">
        <w:rPr>
          <w:sz w:val="22"/>
          <w:szCs w:val="22"/>
        </w:rPr>
        <w:t xml:space="preserve">Если присутствуют вышеуказанные критерии и от </w:t>
      </w:r>
      <w:r w:rsidR="00E22A9C">
        <w:rPr>
          <w:sz w:val="22"/>
          <w:szCs w:val="22"/>
        </w:rPr>
        <w:t xml:space="preserve">МУП «АЭС» </w:t>
      </w:r>
      <w:r w:rsidRPr="00C31888">
        <w:rPr>
          <w:sz w:val="22"/>
          <w:szCs w:val="22"/>
        </w:rPr>
        <w:t xml:space="preserve">не требуется выполнение работ по строительству (реконструкции) объектов электросетевого хозяйства, включенных (подлежащих включению) в инвестиционную программу </w:t>
      </w:r>
      <w:r w:rsidR="00E22A9C">
        <w:rPr>
          <w:sz w:val="22"/>
          <w:szCs w:val="22"/>
        </w:rPr>
        <w:t>МУП «АЭС»</w:t>
      </w:r>
      <w:r w:rsidRPr="00C31888">
        <w:rPr>
          <w:sz w:val="22"/>
          <w:szCs w:val="22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</w:t>
      </w:r>
      <w:r w:rsidRPr="00C31888">
        <w:rPr>
          <w:sz w:val="22"/>
          <w:szCs w:val="22"/>
        </w:rPr>
        <w:lastRenderedPageBreak/>
        <w:t>существующих объектов электросетевого хозяйства до присоединяемых энергопринимающих устройств</w:t>
      </w:r>
      <w:r w:rsidRPr="0072364E">
        <w:rPr>
          <w:sz w:val="22"/>
          <w:szCs w:val="22"/>
        </w:rPr>
        <w:t xml:space="preserve"> и (или) объектов электроэнергетики</w:t>
      </w:r>
      <w:proofErr w:type="gramEnd"/>
      <w:r w:rsidRPr="0072364E">
        <w:rPr>
          <w:sz w:val="22"/>
          <w:szCs w:val="22"/>
        </w:rPr>
        <w:t xml:space="preserve"> - 4 месяца </w:t>
      </w:r>
      <w:proofErr w:type="gramStart"/>
      <w:r w:rsidRPr="0072364E">
        <w:rPr>
          <w:sz w:val="22"/>
          <w:szCs w:val="22"/>
        </w:rPr>
        <w:t>с даты заключения</w:t>
      </w:r>
      <w:proofErr w:type="gramEnd"/>
      <w:r w:rsidRPr="0072364E">
        <w:rPr>
          <w:sz w:val="22"/>
          <w:szCs w:val="22"/>
        </w:rPr>
        <w:t xml:space="preserve"> договора;</w:t>
      </w:r>
    </w:p>
    <w:p w:rsidR="0075299C" w:rsidRPr="0072364E" w:rsidRDefault="00C86B65" w:rsidP="00FC4008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При несоблюдении всех вышеуказанных условий - 1 год с даты заключения договора.</w:t>
      </w:r>
    </w:p>
    <w:p w:rsidR="00C86B65" w:rsidRPr="0072364E" w:rsidRDefault="00C86B65" w:rsidP="00767CB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67CB8" w:rsidRPr="0072364E" w:rsidRDefault="00767CB8" w:rsidP="00767CB8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Порядок оказания услуг (процесса):</w:t>
      </w:r>
    </w:p>
    <w:p w:rsidR="00767CB8" w:rsidRPr="0072364E" w:rsidRDefault="00767CB8" w:rsidP="00767CB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481F7F" w:rsidRPr="0072364E" w:rsidTr="00B93D04">
        <w:trPr>
          <w:tblHeader/>
        </w:trPr>
        <w:tc>
          <w:tcPr>
            <w:tcW w:w="167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CC2E5" w:themeFill="accent1" w:themeFillTint="99"/>
          </w:tcPr>
          <w:p w:rsidR="00481F7F" w:rsidRPr="0072364E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481F7F" w:rsidRPr="0072364E" w:rsidTr="00481F7F">
        <w:tc>
          <w:tcPr>
            <w:tcW w:w="167" w:type="pc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1.1.</w:t>
            </w:r>
            <w:r w:rsidRPr="0072364E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CF1684" w:rsidRPr="00A33D8A" w:rsidRDefault="00CF1684" w:rsidP="00CF1684">
            <w:pPr>
              <w:pStyle w:val="a9"/>
              <w:autoSpaceDE w:val="0"/>
              <w:autoSpaceDN w:val="0"/>
              <w:adjustRightInd w:val="0"/>
              <w:ind w:left="34"/>
            </w:pPr>
            <w:r w:rsidRPr="00A33D8A">
              <w:t>Очное обращение заявителя с заявкой в офис обслуживания потребителей,</w:t>
            </w:r>
          </w:p>
          <w:p w:rsidR="00CF1684" w:rsidRPr="00A33D8A" w:rsidRDefault="00CF1684" w:rsidP="00CF1684">
            <w:pPr>
              <w:pStyle w:val="a9"/>
              <w:autoSpaceDE w:val="0"/>
              <w:autoSpaceDN w:val="0"/>
              <w:adjustRightInd w:val="0"/>
              <w:ind w:left="34"/>
            </w:pPr>
            <w:r w:rsidRPr="00A33D8A">
              <w:t>письменное обращение с заявкой заказным письмом с уведомлением,</w:t>
            </w:r>
          </w:p>
          <w:p w:rsidR="00481F7F" w:rsidRPr="0072364E" w:rsidRDefault="00CF1684" w:rsidP="00CF1684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275698">
              <w:rPr>
                <w:sz w:val="22"/>
                <w:szCs w:val="22"/>
              </w:rPr>
              <w:t>заявка по электронной форме</w:t>
            </w:r>
            <w:r>
              <w:rPr>
                <w:sz w:val="22"/>
                <w:szCs w:val="22"/>
              </w:rPr>
              <w:t xml:space="preserve"> на сайте сетевой организации.</w:t>
            </w: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rPr>
                <w:sz w:val="22"/>
                <w:szCs w:val="22"/>
              </w:rPr>
            </w:pPr>
            <w:r w:rsidRPr="004E3090">
              <w:rPr>
                <w:rFonts w:eastAsia="Calibri"/>
                <w:sz w:val="22"/>
                <w:szCs w:val="22"/>
                <w:lang w:eastAsia="en-US"/>
              </w:rPr>
              <w:t>Пункты  8,</w:t>
            </w:r>
            <w:r w:rsidR="0078259C" w:rsidRPr="004E3090">
              <w:rPr>
                <w:rFonts w:eastAsia="Calibri"/>
                <w:sz w:val="22"/>
                <w:szCs w:val="22"/>
                <w:lang w:eastAsia="en-US"/>
              </w:rPr>
              <w:t xml:space="preserve"> 9,</w:t>
            </w:r>
            <w:r w:rsidRPr="004E3090">
              <w:rPr>
                <w:rFonts w:eastAsia="Calibri"/>
                <w:sz w:val="22"/>
                <w:szCs w:val="22"/>
                <w:lang w:eastAsia="en-US"/>
              </w:rPr>
              <w:t xml:space="preserve"> 10,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14 Правил технологического присоединения энергопринимающих устройств потребителей электрической энергии</w:t>
            </w:r>
            <w:r w:rsidRPr="0072364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1.2</w:t>
            </w:r>
            <w:r w:rsidRPr="0072364E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7221E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Уведомление в </w:t>
            </w:r>
            <w:r w:rsidR="007221E4" w:rsidRPr="0072364E">
              <w:rPr>
                <w:sz w:val="22"/>
                <w:szCs w:val="22"/>
              </w:rPr>
              <w:t xml:space="preserve">электронной </w:t>
            </w:r>
            <w:r w:rsidRPr="0072364E">
              <w:rPr>
                <w:sz w:val="22"/>
                <w:szCs w:val="22"/>
              </w:rPr>
              <w:t>форме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sz w:val="22"/>
                <w:szCs w:val="22"/>
              </w:rPr>
              <w:t>3 рабочих дня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Заключение договора об осуществлении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 xml:space="preserve">Заявка на ТП и приложенные </w:t>
            </w:r>
            <w:r w:rsidRPr="0072364E">
              <w:rPr>
                <w:sz w:val="22"/>
                <w:szCs w:val="22"/>
              </w:rPr>
              <w:lastRenderedPageBreak/>
              <w:t xml:space="preserve">документы соответствуют Правилам ТП 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8F251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2.1</w:t>
            </w:r>
            <w:r w:rsidRPr="0072364E">
              <w:rPr>
                <w:sz w:val="22"/>
                <w:szCs w:val="22"/>
              </w:rPr>
              <w:t xml:space="preserve">.  Договор между сетевой организацией и </w:t>
            </w:r>
            <w:r w:rsidRPr="0072364E">
              <w:rPr>
                <w:sz w:val="22"/>
                <w:szCs w:val="22"/>
              </w:rPr>
              <w:lastRenderedPageBreak/>
              <w:t>заявителями, заключается путем направления заявителю выставляемого сетевой организацией счета для внесения платы за технологическое присоединение и оплаты заявителем указанного счета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E22A9C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 xml:space="preserve">Электронная форма счета, подписанного </w:t>
            </w:r>
            <w:r w:rsidRPr="0072364E">
              <w:rPr>
                <w:sz w:val="22"/>
                <w:szCs w:val="22"/>
              </w:rPr>
              <w:lastRenderedPageBreak/>
              <w:t xml:space="preserve">со стороны </w:t>
            </w:r>
            <w:r w:rsidR="00E22A9C"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, ТУ, условия типового договора, </w:t>
            </w:r>
            <w:r w:rsidRPr="0072364E">
              <w:rPr>
                <w:sz w:val="23"/>
                <w:szCs w:val="23"/>
                <w:shd w:val="clear" w:color="auto" w:fill="FFFFFF"/>
              </w:rPr>
              <w:t xml:space="preserve">инструкция, содержащая последовательный перечень </w:t>
            </w:r>
            <w:proofErr w:type="gramStart"/>
            <w:r w:rsidRPr="0072364E">
              <w:rPr>
                <w:sz w:val="23"/>
                <w:szCs w:val="23"/>
                <w:shd w:val="clear" w:color="auto" w:fill="FFFFFF"/>
              </w:rPr>
              <w:t xml:space="preserve">мероприятий, обеспечивающих безопасное осуществление действиями заявителя фактического присоединения и фактического приема напряжения и мощности </w:t>
            </w:r>
            <w:r w:rsidRPr="0072364E">
              <w:rPr>
                <w:sz w:val="22"/>
                <w:szCs w:val="22"/>
              </w:rPr>
              <w:t>направляется</w:t>
            </w:r>
            <w:proofErr w:type="gramEnd"/>
            <w:r w:rsidRPr="0072364E">
              <w:rPr>
                <w:sz w:val="22"/>
                <w:szCs w:val="22"/>
              </w:rPr>
              <w:t xml:space="preserve"> в </w:t>
            </w:r>
            <w:r w:rsidR="0072364E">
              <w:rPr>
                <w:sz w:val="22"/>
                <w:szCs w:val="22"/>
              </w:rPr>
              <w:t>Личный</w:t>
            </w:r>
            <w:r w:rsidRPr="0072364E">
              <w:rPr>
                <w:sz w:val="22"/>
                <w:szCs w:val="22"/>
              </w:rPr>
              <w:t xml:space="preserve"> кабинет клиента</w:t>
            </w: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 xml:space="preserve">10 рабочих дней со дня  </w:t>
            </w:r>
            <w:r w:rsidRPr="0072364E">
              <w:rPr>
                <w:sz w:val="22"/>
                <w:szCs w:val="22"/>
              </w:rPr>
              <w:lastRenderedPageBreak/>
              <w:t>получения заявки, соответствующей  Правилам ТП или с даты  получения недостающих сведений (документов), 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103, 104 Правил технологического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>Договор считается заключенным на условиях, предусмотренных настоящими Правилами, со дня оплаты заявителем счета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>Заявитель обязан в течение 5 рабочих дней со дня выставления сетевой организацией счета, оплатить указанный счет.</w:t>
            </w:r>
          </w:p>
          <w:p w:rsidR="00053F0E" w:rsidRPr="0072364E" w:rsidRDefault="00053F0E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Если для заявителя установлено требование осуществления закупки </w:t>
            </w:r>
            <w:r w:rsidR="00767E56">
              <w:rPr>
                <w:color w:val="22272F"/>
                <w:sz w:val="23"/>
                <w:szCs w:val="23"/>
                <w:shd w:val="clear" w:color="auto" w:fill="FFFFFF"/>
              </w:rPr>
              <w:t>с соблюдением требований </w:t>
            </w:r>
            <w:hyperlink r:id="rId14" w:anchor="/document/70353464/entry/0" w:history="1">
              <w:r w:rsidR="00767E56">
                <w:rPr>
                  <w:rStyle w:val="af"/>
                  <w:color w:val="3272C0"/>
                  <w:sz w:val="23"/>
                  <w:szCs w:val="23"/>
                  <w:shd w:val="clear" w:color="auto" w:fill="FFFFFF"/>
                </w:rPr>
                <w:t>Федерального закона</w:t>
              </w:r>
            </w:hyperlink>
            <w:r w:rsidR="00767E56">
              <w:rPr>
                <w:color w:val="22272F"/>
                <w:sz w:val="23"/>
                <w:szCs w:val="23"/>
                <w:shd w:val="clear" w:color="auto" w:fill="FFFFFF"/>
              </w:rPr>
              <w:t> "О контрактной системе в сфере закупок товаров, работ, услуг для обеспечения государственных и муниципальных нужд" или </w:t>
            </w:r>
            <w:hyperlink r:id="rId15" w:anchor="/document/70291366/entry/0" w:history="1">
              <w:r w:rsidR="00767E56">
                <w:rPr>
                  <w:rStyle w:val="af"/>
                  <w:color w:val="3272C0"/>
                  <w:sz w:val="23"/>
                  <w:szCs w:val="23"/>
                  <w:shd w:val="clear" w:color="auto" w:fill="FFFFFF"/>
                </w:rPr>
                <w:t>Федерального закона</w:t>
              </w:r>
            </w:hyperlink>
            <w:r w:rsidR="00767E56">
              <w:rPr>
                <w:color w:val="22272F"/>
                <w:sz w:val="23"/>
                <w:szCs w:val="23"/>
                <w:shd w:val="clear" w:color="auto" w:fill="FFFFFF"/>
              </w:rPr>
              <w:t> "О государственном оборонном заказе", - в течение 15 рабочих дней).</w:t>
            </w:r>
          </w:p>
          <w:p w:rsidR="00481F7F" w:rsidRPr="0072364E" w:rsidRDefault="00481F7F" w:rsidP="00767E56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В случае неоплаты счета либо мотивированног</w:t>
            </w:r>
            <w:r w:rsidRPr="0072364E">
              <w:rPr>
                <w:sz w:val="22"/>
                <w:szCs w:val="22"/>
              </w:rPr>
              <w:lastRenderedPageBreak/>
              <w:t xml:space="preserve">о отказа от подписания договора в течение </w:t>
            </w:r>
            <w:r w:rsidR="00767E56">
              <w:rPr>
                <w:sz w:val="22"/>
                <w:szCs w:val="22"/>
              </w:rPr>
              <w:t>3</w:t>
            </w:r>
            <w:r w:rsidRPr="0072364E">
              <w:rPr>
                <w:sz w:val="22"/>
                <w:szCs w:val="22"/>
              </w:rPr>
              <w:t xml:space="preserve"> рабочих дней со дня истечения срока оплаты счета –  заявка аннулируется</w:t>
            </w:r>
            <w:r w:rsidR="00767E56">
              <w:rPr>
                <w:sz w:val="22"/>
                <w:szCs w:val="22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Пункт 106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</w:t>
            </w:r>
            <w:r w:rsidR="00767E56">
              <w:rPr>
                <w:rFonts w:eastAsia="Calibri"/>
                <w:sz w:val="22"/>
                <w:szCs w:val="22"/>
                <w:lang w:eastAsia="en-US"/>
              </w:rPr>
              <w:t xml:space="preserve"> размещенными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767E56">
              <w:rPr>
                <w:rFonts w:eastAsia="Calibri"/>
                <w:sz w:val="22"/>
                <w:szCs w:val="22"/>
                <w:lang w:eastAsia="en-US"/>
              </w:rPr>
              <w:t xml:space="preserve"> документами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и (или) несоответствия </w:t>
            </w:r>
            <w:r w:rsidR="00767E56"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Правилам 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E22A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2.3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="00767E56">
              <w:rPr>
                <w:rFonts w:eastAsia="Calibri"/>
                <w:sz w:val="22"/>
                <w:szCs w:val="22"/>
                <w:lang w:eastAsia="en-US"/>
              </w:rPr>
              <w:t xml:space="preserve"> в течение 5 рабочих дней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направляет в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договора с предложением об изменении </w:t>
            </w:r>
            <w:r w:rsidR="00767E56">
              <w:rPr>
                <w:rFonts w:eastAsia="Calibri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Письменная форма мотивированного отказа /электронный вид, направленный в личном кабинете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64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364E">
              <w:rPr>
                <w:sz w:val="22"/>
                <w:szCs w:val="22"/>
              </w:rPr>
              <w:t>мотивирован-ного</w:t>
            </w:r>
            <w:proofErr w:type="spellEnd"/>
            <w:proofErr w:type="gramEnd"/>
            <w:r w:rsidRPr="0072364E">
              <w:rPr>
                <w:sz w:val="22"/>
                <w:szCs w:val="22"/>
              </w:rPr>
              <w:t xml:space="preserve"> отказа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342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мотивированного отка</w:t>
            </w:r>
            <w:r w:rsidR="003421C4"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342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2.4.</w:t>
            </w:r>
            <w:r w:rsidRPr="0072364E">
              <w:rPr>
                <w:sz w:val="22"/>
                <w:szCs w:val="22"/>
              </w:rPr>
              <w:t xml:space="preserve"> Направление в личном кабинете </w:t>
            </w:r>
            <w:r w:rsidR="003421C4">
              <w:rPr>
                <w:sz w:val="22"/>
                <w:szCs w:val="22"/>
              </w:rPr>
              <w:t xml:space="preserve">на портале ТП РФ (или ином портале посредством которого была подана заявка на ТП) </w:t>
            </w:r>
            <w:r w:rsidRPr="0072364E">
              <w:rPr>
                <w:sz w:val="22"/>
                <w:szCs w:val="22"/>
              </w:rPr>
              <w:t xml:space="preserve"> </w:t>
            </w:r>
            <w:r w:rsidR="003421C4">
              <w:rPr>
                <w:sz w:val="22"/>
                <w:szCs w:val="22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электронной форме</w:t>
            </w:r>
          </w:p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энергии, ст. 445 Гражданского Кодекса РФ</w:t>
            </w:r>
          </w:p>
        </w:tc>
      </w:tr>
      <w:tr w:rsidR="00481F7F" w:rsidRPr="0072364E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2A6AD6" w:rsidRDefault="00481F7F" w:rsidP="002A6AD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A6AD6">
              <w:rPr>
                <w:b/>
                <w:bCs/>
                <w:sz w:val="22"/>
                <w:szCs w:val="22"/>
              </w:rPr>
              <w:t>2.5</w:t>
            </w:r>
            <w:r w:rsidRPr="002A6AD6">
              <w:rPr>
                <w:sz w:val="22"/>
                <w:szCs w:val="22"/>
              </w:rPr>
              <w:t>. </w:t>
            </w:r>
            <w:r w:rsidRPr="002A6AD6"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в адрес субъекта розничного рынка, указанного в заявке, с </w:t>
            </w:r>
            <w:r w:rsidRPr="002A6AD6">
              <w:rPr>
                <w:rFonts w:eastAsia="Calibri"/>
                <w:sz w:val="22"/>
                <w:szCs w:val="22"/>
                <w:lang w:eastAsia="en-US"/>
              </w:rPr>
              <w:lastRenderedPageBreak/>
              <w:t>которым заявитель намеревается заключить договор энергоснабжения, копию подписанного с заявителем договора и копии представленных заявителем документов.</w:t>
            </w:r>
            <w:r w:rsidRPr="002A6A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shd w:val="clear" w:color="auto" w:fill="auto"/>
          </w:tcPr>
          <w:p w:rsidR="00481F7F" w:rsidRPr="002A6AD6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6AD6">
              <w:rPr>
                <w:rFonts w:eastAsia="Calibri"/>
                <w:sz w:val="22"/>
                <w:szCs w:val="22"/>
                <w:lang w:eastAsia="en-US"/>
              </w:rPr>
              <w:lastRenderedPageBreak/>
              <w:t>В электронной форме</w:t>
            </w:r>
          </w:p>
          <w:p w:rsidR="00481F7F" w:rsidRPr="002A6AD6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2A6AD6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2A6AD6">
              <w:rPr>
                <w:sz w:val="22"/>
                <w:szCs w:val="22"/>
              </w:rPr>
              <w:t xml:space="preserve">не позднее 2 рабочих дней с даты заключения </w:t>
            </w:r>
            <w:r w:rsidRPr="002A6AD6">
              <w:rPr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913" w:type="pct"/>
            <w:shd w:val="clear" w:color="auto" w:fill="auto"/>
          </w:tcPr>
          <w:p w:rsidR="00481F7F" w:rsidRPr="002A6AD6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6AD6">
              <w:rPr>
                <w:rFonts w:eastAsia="Calibri"/>
                <w:sz w:val="22"/>
                <w:szCs w:val="22"/>
                <w:lang w:eastAsia="en-US"/>
              </w:rPr>
              <w:lastRenderedPageBreak/>
              <w:t>Пункт 15</w:t>
            </w:r>
            <w:r w:rsidR="003421C4" w:rsidRPr="002A6AD6">
              <w:rPr>
                <w:rFonts w:eastAsia="Calibri"/>
                <w:sz w:val="22"/>
                <w:szCs w:val="22"/>
                <w:lang w:eastAsia="en-US"/>
              </w:rPr>
              <w:t>.1</w:t>
            </w:r>
            <w:r w:rsidRPr="002A6AD6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</w:t>
            </w:r>
            <w:r w:rsidRPr="002A6AD6">
              <w:rPr>
                <w:rFonts w:eastAsia="Calibri"/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481F7F" w:rsidRPr="0072364E" w:rsidTr="00481F7F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A6AD6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 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3.1</w:t>
            </w:r>
            <w:r w:rsidRPr="0072364E">
              <w:rPr>
                <w:sz w:val="22"/>
                <w:szCs w:val="22"/>
              </w:rPr>
              <w:t>. Оплата  счета по договору об осуществлении 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BA7381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7381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72364E" w:rsidTr="00481F7F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</w:t>
            </w:r>
            <w:r w:rsidRPr="0072364E">
              <w:rPr>
                <w:sz w:val="22"/>
                <w:szCs w:val="22"/>
              </w:rPr>
              <w:t xml:space="preserve">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72364E" w:rsidTr="00481F7F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3.3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</w:p>
        </w:tc>
      </w:tr>
      <w:tr w:rsidR="00481F7F" w:rsidRPr="0072364E" w:rsidTr="00481F7F">
        <w:trPr>
          <w:trHeight w:val="695"/>
        </w:trPr>
        <w:tc>
          <w:tcPr>
            <w:tcW w:w="167" w:type="pct"/>
            <w:shd w:val="clear" w:color="auto" w:fill="auto"/>
          </w:tcPr>
          <w:p w:rsidR="00481F7F" w:rsidRPr="0072364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A6A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481F7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Выполнение </w:t>
            </w:r>
            <w:r w:rsidR="00E22A9C"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 технических условий </w:t>
            </w: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F76445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72364E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наличия замечаний к уведомлению о предоставлении возможности </w:t>
            </w:r>
            <w:r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4.1.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Подготовка, подписание ЭЦП и размещение закрывающих документов в личном кабинете клиента</w:t>
            </w:r>
          </w:p>
          <w:p w:rsidR="00F76445" w:rsidRPr="00F76445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6445" w:rsidRPr="00F76445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1F7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b/>
                <w:sz w:val="22"/>
                <w:szCs w:val="22"/>
                <w:lang w:eastAsia="en-US"/>
              </w:rPr>
              <w:t>4.2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72364E">
              <w:rPr>
                <w:rFonts w:eastAsia="Calibri"/>
                <w:sz w:val="22"/>
                <w:szCs w:val="22"/>
                <w:lang w:eastAsia="en-US"/>
              </w:rPr>
              <w:t>энергопринимающими</w:t>
            </w:r>
            <w:proofErr w:type="spell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устройствами заявителя электрической энергии (мощности) </w:t>
            </w:r>
          </w:p>
          <w:p w:rsidR="00F76445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1CDD" w:rsidRPr="0072364E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20 рабочих дней заявитель может представить свои замечания в сетевую организацию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 xml:space="preserve">Акт допуска приборов учета в эксплуатацию (АДПУ), </w:t>
            </w:r>
          </w:p>
          <w:p w:rsidR="00CF1684" w:rsidRPr="009B6FD9" w:rsidRDefault="00CF1684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Pr="009B6FD9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Pr="009B6FD9" w:rsidRDefault="00F76445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481F7F" w:rsidRDefault="00CF1684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о предоставлении возможности </w:t>
            </w:r>
            <w:r w:rsidR="00481F7F"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>к электрическим сетям</w:t>
            </w:r>
          </w:p>
          <w:p w:rsidR="00C51CDD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Default="00F76445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Pr="0072364E" w:rsidRDefault="00C51CDD" w:rsidP="00F7644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простой письменной форме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либо через личный кабинет на официальном сайте МУ</w:t>
            </w:r>
            <w:r w:rsidR="00F76445">
              <w:rPr>
                <w:sz w:val="22"/>
                <w:szCs w:val="22"/>
              </w:rPr>
              <w:t>П «</w:t>
            </w:r>
            <w:r>
              <w:rPr>
                <w:sz w:val="22"/>
                <w:szCs w:val="22"/>
              </w:rPr>
              <w:t>АЭС»</w:t>
            </w: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АДПУ-не позднее рабочего дня, осуществления допуска прибора учета в эксплуатацию.</w:t>
            </w:r>
          </w:p>
          <w:p w:rsidR="00F76445" w:rsidRPr="009B6FD9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F76445" w:rsidRPr="009B6FD9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F76445" w:rsidRPr="00F76445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F76445">
              <w:rPr>
                <w:sz w:val="22"/>
                <w:szCs w:val="22"/>
              </w:rPr>
              <w:t>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</w:t>
            </w:r>
            <w:proofErr w:type="gramEnd"/>
            <w:r w:rsidRPr="00F76445">
              <w:rPr>
                <w:sz w:val="22"/>
                <w:szCs w:val="22"/>
              </w:rPr>
              <w:t xml:space="preserve"> одного рабочего дня </w:t>
            </w:r>
          </w:p>
          <w:p w:rsidR="00F76445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1F7F" w:rsidRPr="0072364E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рабочих дней</w:t>
            </w: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481F7F" w:rsidRPr="0072364E" w:rsidTr="00481F7F">
        <w:trPr>
          <w:trHeight w:val="695"/>
        </w:trPr>
        <w:tc>
          <w:tcPr>
            <w:tcW w:w="167" w:type="pct"/>
            <w:shd w:val="clear" w:color="auto" w:fill="auto"/>
          </w:tcPr>
          <w:p w:rsidR="00481F7F" w:rsidRPr="00CC7BFE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A6AD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Выполненные работы со стороны </w:t>
            </w:r>
            <w:r w:rsidR="00E22A9C"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</w:p>
        </w:tc>
        <w:tc>
          <w:tcPr>
            <w:tcW w:w="992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5.1 Заявитель самостоятельно осуществляет присоединение своих энергопринимающих устройств к сетям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72364E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энергии.</w:t>
            </w:r>
          </w:p>
        </w:tc>
      </w:tr>
    </w:tbl>
    <w:p w:rsidR="00C86B65" w:rsidRPr="0072364E" w:rsidRDefault="00C86B65" w:rsidP="00CB5E30">
      <w:pPr>
        <w:rPr>
          <w:sz w:val="22"/>
          <w:szCs w:val="22"/>
        </w:rPr>
      </w:pP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>Контактная информация для направления обращений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>1) в письменном виде почтовым отправлением в адрес компании:</w:t>
      </w:r>
      <w:r w:rsidR="00E22A9C" w:rsidRPr="00A85248">
        <w:t>655017</w:t>
      </w:r>
      <w:r w:rsidRPr="00A85248">
        <w:t xml:space="preserve">, </w:t>
      </w:r>
      <w:r w:rsidR="00E22A9C" w:rsidRPr="00A85248">
        <w:t>г. Абакан</w:t>
      </w:r>
      <w:r w:rsidRPr="00A85248">
        <w:t xml:space="preserve">, ул. </w:t>
      </w:r>
      <w:proofErr w:type="gramStart"/>
      <w:r w:rsidR="00E22A9C" w:rsidRPr="00A85248">
        <w:t>Советская</w:t>
      </w:r>
      <w:proofErr w:type="gramEnd"/>
      <w:r w:rsidRPr="00A85248">
        <w:t xml:space="preserve">, </w:t>
      </w:r>
      <w:r w:rsidR="00E22A9C" w:rsidRPr="00A85248">
        <w:t>25</w:t>
      </w:r>
      <w:r w:rsidRPr="00A85248">
        <w:t>;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>2) электронным письмом на адрес: </w:t>
      </w:r>
      <w:r w:rsidR="00E22A9C" w:rsidRPr="00A85248">
        <w:rPr>
          <w:lang w:val="en-US"/>
        </w:rPr>
        <w:t>mail</w:t>
      </w:r>
      <w:hyperlink r:id="rId16" w:history="1">
        <w:r w:rsidR="001429E1" w:rsidRPr="00A85248">
          <w:rPr>
            <w:rStyle w:val="af"/>
            <w:color w:val="auto"/>
          </w:rPr>
          <w:t>@</w:t>
        </w:r>
        <w:proofErr w:type="spellStart"/>
        <w:r w:rsidR="00E22A9C" w:rsidRPr="00A85248">
          <w:rPr>
            <w:rStyle w:val="af"/>
            <w:color w:val="auto"/>
            <w:lang w:val="en-US"/>
          </w:rPr>
          <w:t>mpaes</w:t>
        </w:r>
        <w:proofErr w:type="spellEnd"/>
        <w:r w:rsidR="001429E1" w:rsidRPr="00A85248">
          <w:rPr>
            <w:rStyle w:val="af"/>
            <w:color w:val="auto"/>
          </w:rPr>
          <w:t>.</w:t>
        </w:r>
        <w:proofErr w:type="spellStart"/>
        <w:r w:rsidR="001429E1" w:rsidRPr="00A85248">
          <w:rPr>
            <w:rStyle w:val="af"/>
            <w:color w:val="auto"/>
          </w:rPr>
          <w:t>ru</w:t>
        </w:r>
        <w:proofErr w:type="spellEnd"/>
      </w:hyperlink>
      <w:r w:rsidR="001429E1" w:rsidRPr="00A85248">
        <w:t xml:space="preserve"> 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 xml:space="preserve">3) в Центр обслуживания клиентов </w:t>
      </w:r>
      <w:r w:rsidR="00E22A9C" w:rsidRPr="00A85248">
        <w:t>МУП «АЭС»</w:t>
      </w:r>
      <w:r w:rsidRPr="00A85248">
        <w:t xml:space="preserve"> по адресу </w:t>
      </w:r>
      <w:proofErr w:type="gramStart"/>
      <w:r w:rsidRPr="00A85248">
        <w:t>г</w:t>
      </w:r>
      <w:proofErr w:type="gramEnd"/>
      <w:r w:rsidRPr="00A85248">
        <w:t>.</w:t>
      </w:r>
      <w:r w:rsidR="00E22A9C" w:rsidRPr="00A85248">
        <w:t xml:space="preserve"> Абакан, ул. Советская, 25; Р</w:t>
      </w:r>
      <w:r w:rsidRPr="00A85248">
        <w:t xml:space="preserve">ежим работы: </w:t>
      </w:r>
      <w:r w:rsidR="005B21C7" w:rsidRPr="00A85248">
        <w:t>понедельник -</w:t>
      </w:r>
      <w:r w:rsidRPr="00A85248">
        <w:t xml:space="preserve"> </w:t>
      </w:r>
      <w:r w:rsidR="00E22A9C" w:rsidRPr="00A85248">
        <w:t>пятница</w:t>
      </w:r>
      <w:r w:rsidRPr="00A85248">
        <w:t xml:space="preserve">, с </w:t>
      </w:r>
      <w:r w:rsidR="00E22A9C" w:rsidRPr="00A85248">
        <w:t>8</w:t>
      </w:r>
      <w:r w:rsidRPr="00A85248">
        <w:t xml:space="preserve">:00 до </w:t>
      </w:r>
      <w:r w:rsidR="001429E1" w:rsidRPr="00A85248">
        <w:t>17</w:t>
      </w:r>
      <w:r w:rsidRPr="00A85248">
        <w:t>:00.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E22A9C" w:rsidRPr="00A85248" w:rsidRDefault="00A50BCE" w:rsidP="00A85248">
      <w:pPr>
        <w:autoSpaceDE w:val="0"/>
        <w:autoSpaceDN w:val="0"/>
        <w:adjustRightInd w:val="0"/>
        <w:jc w:val="both"/>
        <w:outlineLvl w:val="0"/>
      </w:pPr>
      <w:r w:rsidRPr="00A85248">
        <w:t xml:space="preserve">А) Управление Федеральной антимонопольной службы по </w:t>
      </w:r>
      <w:r w:rsidR="00E22A9C" w:rsidRPr="00A85248">
        <w:t>Республике Хакасия</w:t>
      </w:r>
      <w:r w:rsidRPr="00A85248">
        <w:t xml:space="preserve"> (6</w:t>
      </w:r>
      <w:r w:rsidR="00E22A9C" w:rsidRPr="00A85248">
        <w:t>55017</w:t>
      </w:r>
      <w:r w:rsidRPr="00A85248">
        <w:t xml:space="preserve">, г. </w:t>
      </w:r>
      <w:r w:rsidR="00E22A9C" w:rsidRPr="00A85248">
        <w:t>Абакан</w:t>
      </w:r>
      <w:r w:rsidRPr="00A85248">
        <w:t xml:space="preserve">, ул. </w:t>
      </w:r>
      <w:proofErr w:type="spellStart"/>
      <w:r w:rsidR="00E22A9C" w:rsidRPr="00A85248">
        <w:t>Вяткина</w:t>
      </w:r>
      <w:proofErr w:type="spellEnd"/>
      <w:r w:rsidR="00E22A9C" w:rsidRPr="00A85248">
        <w:t>, д. 3</w:t>
      </w:r>
      <w:r w:rsidRPr="00A85248">
        <w:t xml:space="preserve">) </w:t>
      </w:r>
      <w:r w:rsidR="00E22A9C" w:rsidRPr="00A85248">
        <w:t xml:space="preserve">– </w:t>
      </w:r>
      <w:r w:rsidR="00E22A9C" w:rsidRPr="00A85248">
        <w:rPr>
          <w:lang w:val="en-US"/>
        </w:rPr>
        <w:t>to</w:t>
      </w:r>
      <w:r w:rsidR="00E22A9C" w:rsidRPr="00A85248">
        <w:t>19@</w:t>
      </w:r>
      <w:proofErr w:type="spellStart"/>
      <w:r w:rsidR="00E22A9C" w:rsidRPr="00A85248">
        <w:rPr>
          <w:lang w:val="en-US"/>
        </w:rPr>
        <w:t>fas</w:t>
      </w:r>
      <w:proofErr w:type="spellEnd"/>
      <w:r w:rsidR="00E22A9C" w:rsidRPr="00A85248">
        <w:t>.</w:t>
      </w:r>
      <w:proofErr w:type="spellStart"/>
      <w:r w:rsidR="00E22A9C" w:rsidRPr="00A85248">
        <w:rPr>
          <w:lang w:val="en-US"/>
        </w:rPr>
        <w:t>gov</w:t>
      </w:r>
      <w:proofErr w:type="spellEnd"/>
      <w:r w:rsidR="00E22A9C" w:rsidRPr="00A85248">
        <w:t>.</w:t>
      </w:r>
      <w:proofErr w:type="spellStart"/>
      <w:r w:rsidR="00E22A9C" w:rsidRPr="00A85248">
        <w:rPr>
          <w:lang w:val="en-US"/>
        </w:rPr>
        <w:t>ru</w:t>
      </w:r>
      <w:proofErr w:type="spellEnd"/>
      <w:r w:rsidR="00E22A9C" w:rsidRPr="00A85248">
        <w:t>, тел. +7 (3902) 22-27-59, факс + 7 (3902) 22-62-55.</w:t>
      </w:r>
    </w:p>
    <w:p w:rsidR="00A50BCE" w:rsidRPr="00A85248" w:rsidRDefault="00A50BCE" w:rsidP="00A85248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A85248">
        <w:t xml:space="preserve">Б) </w:t>
      </w:r>
      <w:r w:rsidR="00E22A9C" w:rsidRPr="00A85248">
        <w:t>Государственный комитет энергетики и тарифного регулирования Республики Хакасия</w:t>
      </w:r>
      <w:r w:rsidR="00553BFA" w:rsidRPr="00A85248">
        <w:t xml:space="preserve"> </w:t>
      </w:r>
      <w:r w:rsidRPr="00A85248">
        <w:t>(6</w:t>
      </w:r>
      <w:r w:rsidR="00553BFA" w:rsidRPr="00A85248">
        <w:t>55017</w:t>
      </w:r>
      <w:r w:rsidRPr="00A85248">
        <w:t xml:space="preserve">, г. </w:t>
      </w:r>
      <w:r w:rsidR="00553BFA" w:rsidRPr="00A85248">
        <w:t>Абакан</w:t>
      </w:r>
      <w:r w:rsidRPr="00A85248">
        <w:t xml:space="preserve">, </w:t>
      </w:r>
      <w:r w:rsidR="00553BFA" w:rsidRPr="00A85248">
        <w:t xml:space="preserve">ул. </w:t>
      </w:r>
      <w:proofErr w:type="spellStart"/>
      <w:r w:rsidR="00553BFA" w:rsidRPr="00A85248">
        <w:t>Щетинкина</w:t>
      </w:r>
      <w:proofErr w:type="spellEnd"/>
      <w:r w:rsidR="00553BFA" w:rsidRPr="00A85248">
        <w:t xml:space="preserve">, 18), </w:t>
      </w:r>
      <w:hyperlink r:id="rId17" w:history="1">
        <w:r w:rsidR="00553BFA" w:rsidRPr="00A85248">
          <w:rPr>
            <w:rStyle w:val="af"/>
            <w:lang w:val="en-US"/>
          </w:rPr>
          <w:t>rek</w:t>
        </w:r>
        <w:r w:rsidR="00553BFA" w:rsidRPr="00A85248">
          <w:rPr>
            <w:rStyle w:val="af"/>
          </w:rPr>
          <w:t>@</w:t>
        </w:r>
        <w:r w:rsidR="00553BFA" w:rsidRPr="00A85248">
          <w:rPr>
            <w:rStyle w:val="af"/>
            <w:lang w:val="en-US"/>
          </w:rPr>
          <w:t>r</w:t>
        </w:r>
        <w:r w:rsidR="00553BFA" w:rsidRPr="00A85248">
          <w:rPr>
            <w:rStyle w:val="af"/>
          </w:rPr>
          <w:t>-19.</w:t>
        </w:r>
        <w:r w:rsidR="00553BFA" w:rsidRPr="00A85248">
          <w:rPr>
            <w:rStyle w:val="af"/>
            <w:lang w:val="en-US"/>
          </w:rPr>
          <w:t>ru</w:t>
        </w:r>
      </w:hyperlink>
      <w:r w:rsidR="00553BFA" w:rsidRPr="00A85248">
        <w:t>, тел. +7 (3902) 39- 91-09.</w:t>
      </w:r>
    </w:p>
    <w:p w:rsidR="00481F7F" w:rsidRPr="00A85248" w:rsidRDefault="00481F7F" w:rsidP="00A85248">
      <w:pPr>
        <w:autoSpaceDE w:val="0"/>
        <w:autoSpaceDN w:val="0"/>
        <w:adjustRightInd w:val="0"/>
        <w:jc w:val="both"/>
        <w:outlineLvl w:val="0"/>
      </w:pPr>
    </w:p>
    <w:p w:rsidR="0072364E" w:rsidRDefault="0072364E" w:rsidP="00A50BCE">
      <w:pPr>
        <w:autoSpaceDE w:val="0"/>
        <w:autoSpaceDN w:val="0"/>
        <w:adjustRightInd w:val="0"/>
        <w:jc w:val="both"/>
        <w:outlineLvl w:val="0"/>
      </w:pPr>
    </w:p>
    <w:p w:rsidR="0072364E" w:rsidRDefault="0072364E" w:rsidP="00A50BCE">
      <w:pPr>
        <w:autoSpaceDE w:val="0"/>
        <w:autoSpaceDN w:val="0"/>
        <w:adjustRightInd w:val="0"/>
        <w:jc w:val="both"/>
        <w:outlineLvl w:val="0"/>
      </w:pPr>
    </w:p>
    <w:p w:rsidR="008E0B23" w:rsidRDefault="008E0B23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sectPr w:rsidR="00F76445" w:rsidSect="008F251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DF" w:rsidRDefault="002F60DF" w:rsidP="00C86B65">
      <w:r>
        <w:separator/>
      </w:r>
    </w:p>
  </w:endnote>
  <w:endnote w:type="continuationSeparator" w:id="0">
    <w:p w:rsidR="002F60DF" w:rsidRDefault="002F60DF" w:rsidP="00C8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DF" w:rsidRDefault="002F60DF" w:rsidP="00C86B65">
      <w:r>
        <w:separator/>
      </w:r>
    </w:p>
  </w:footnote>
  <w:footnote w:type="continuationSeparator" w:id="0">
    <w:p w:rsidR="002F60DF" w:rsidRDefault="002F60DF" w:rsidP="00C86B65">
      <w:r>
        <w:continuationSeparator/>
      </w:r>
    </w:p>
  </w:footnote>
  <w:footnote w:id="1">
    <w:p w:rsidR="00E22A9C" w:rsidRPr="00882E94" w:rsidRDefault="00E22A9C" w:rsidP="00481F7F">
      <w:pPr>
        <w:pStyle w:val="a6"/>
      </w:pPr>
      <w:r w:rsidRPr="00882E94">
        <w:rPr>
          <w:rStyle w:val="a8"/>
        </w:rPr>
        <w:footnoteRef/>
      </w:r>
      <w:r w:rsidRPr="00882E94">
        <w:t xml:space="preserve"> </w:t>
      </w:r>
      <w:r w:rsidRPr="00882E94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>
        <w:rPr>
          <w:rFonts w:ascii="Times New Roman" w:hAnsi="Times New Roman"/>
        </w:rPr>
        <w:t xml:space="preserve"> </w:t>
      </w:r>
      <w:r w:rsidRPr="00882E94">
        <w:rPr>
          <w:rFonts w:ascii="Times New Roman" w:hAnsi="Times New Roman"/>
        </w:rPr>
        <w:t>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C8F"/>
    <w:multiLevelType w:val="hybridMultilevel"/>
    <w:tmpl w:val="7FD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629F"/>
    <w:multiLevelType w:val="multilevel"/>
    <w:tmpl w:val="E3C2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B8"/>
    <w:rsid w:val="00010B41"/>
    <w:rsid w:val="00015181"/>
    <w:rsid w:val="00017E5A"/>
    <w:rsid w:val="00030F53"/>
    <w:rsid w:val="00037C01"/>
    <w:rsid w:val="00037CFB"/>
    <w:rsid w:val="00053F0E"/>
    <w:rsid w:val="00080ED2"/>
    <w:rsid w:val="000A0763"/>
    <w:rsid w:val="000A53F3"/>
    <w:rsid w:val="000B39F8"/>
    <w:rsid w:val="000B3D13"/>
    <w:rsid w:val="000C67C8"/>
    <w:rsid w:val="000D74C2"/>
    <w:rsid w:val="000F52C5"/>
    <w:rsid w:val="00107AE4"/>
    <w:rsid w:val="00114231"/>
    <w:rsid w:val="00117202"/>
    <w:rsid w:val="001429E1"/>
    <w:rsid w:val="00163EA4"/>
    <w:rsid w:val="001850E2"/>
    <w:rsid w:val="001E49B7"/>
    <w:rsid w:val="00200F51"/>
    <w:rsid w:val="00216C30"/>
    <w:rsid w:val="00230B50"/>
    <w:rsid w:val="00241C2A"/>
    <w:rsid w:val="00271EF3"/>
    <w:rsid w:val="0027735F"/>
    <w:rsid w:val="00283882"/>
    <w:rsid w:val="0028497D"/>
    <w:rsid w:val="002A6AD6"/>
    <w:rsid w:val="002F1E7F"/>
    <w:rsid w:val="002F60DF"/>
    <w:rsid w:val="00326197"/>
    <w:rsid w:val="003421C4"/>
    <w:rsid w:val="00362D82"/>
    <w:rsid w:val="003C73C6"/>
    <w:rsid w:val="0040462F"/>
    <w:rsid w:val="0040693F"/>
    <w:rsid w:val="00417526"/>
    <w:rsid w:val="00444E6F"/>
    <w:rsid w:val="004533B9"/>
    <w:rsid w:val="00454FD7"/>
    <w:rsid w:val="00466B71"/>
    <w:rsid w:val="0047013A"/>
    <w:rsid w:val="00481F7F"/>
    <w:rsid w:val="004C7BF1"/>
    <w:rsid w:val="004D26A0"/>
    <w:rsid w:val="004E3090"/>
    <w:rsid w:val="004F307E"/>
    <w:rsid w:val="005142E8"/>
    <w:rsid w:val="00530131"/>
    <w:rsid w:val="0053294E"/>
    <w:rsid w:val="0054443D"/>
    <w:rsid w:val="00553BFA"/>
    <w:rsid w:val="00556D8E"/>
    <w:rsid w:val="00570AF9"/>
    <w:rsid w:val="00594265"/>
    <w:rsid w:val="005A2DE1"/>
    <w:rsid w:val="005B21C7"/>
    <w:rsid w:val="005B302A"/>
    <w:rsid w:val="005E0B8A"/>
    <w:rsid w:val="005E461E"/>
    <w:rsid w:val="005E5273"/>
    <w:rsid w:val="00610605"/>
    <w:rsid w:val="00613013"/>
    <w:rsid w:val="00616704"/>
    <w:rsid w:val="00636486"/>
    <w:rsid w:val="00664437"/>
    <w:rsid w:val="006736D0"/>
    <w:rsid w:val="00682E1F"/>
    <w:rsid w:val="006849D6"/>
    <w:rsid w:val="006A0CCC"/>
    <w:rsid w:val="006B08E2"/>
    <w:rsid w:val="006C32CE"/>
    <w:rsid w:val="006D4428"/>
    <w:rsid w:val="006D4A2E"/>
    <w:rsid w:val="006E0058"/>
    <w:rsid w:val="006F6A37"/>
    <w:rsid w:val="007221E4"/>
    <w:rsid w:val="00722DAF"/>
    <w:rsid w:val="0072364E"/>
    <w:rsid w:val="0072607C"/>
    <w:rsid w:val="00743A11"/>
    <w:rsid w:val="007461B1"/>
    <w:rsid w:val="0075299C"/>
    <w:rsid w:val="00763BFB"/>
    <w:rsid w:val="00767CB8"/>
    <w:rsid w:val="00767E56"/>
    <w:rsid w:val="007713F7"/>
    <w:rsid w:val="0078259C"/>
    <w:rsid w:val="00783D19"/>
    <w:rsid w:val="00795917"/>
    <w:rsid w:val="007A63B6"/>
    <w:rsid w:val="007A684C"/>
    <w:rsid w:val="007B3DB0"/>
    <w:rsid w:val="007B5179"/>
    <w:rsid w:val="007D2CA6"/>
    <w:rsid w:val="007D2F8B"/>
    <w:rsid w:val="007D725E"/>
    <w:rsid w:val="007E1581"/>
    <w:rsid w:val="007E7FB2"/>
    <w:rsid w:val="007F40C3"/>
    <w:rsid w:val="00811022"/>
    <w:rsid w:val="00823975"/>
    <w:rsid w:val="0086129B"/>
    <w:rsid w:val="00865151"/>
    <w:rsid w:val="0086732C"/>
    <w:rsid w:val="00886444"/>
    <w:rsid w:val="008B7C48"/>
    <w:rsid w:val="008D036A"/>
    <w:rsid w:val="008E0B23"/>
    <w:rsid w:val="008E3C54"/>
    <w:rsid w:val="008F251D"/>
    <w:rsid w:val="00920CE4"/>
    <w:rsid w:val="00924B00"/>
    <w:rsid w:val="00940B76"/>
    <w:rsid w:val="00961ADC"/>
    <w:rsid w:val="00972493"/>
    <w:rsid w:val="009805AE"/>
    <w:rsid w:val="0099428B"/>
    <w:rsid w:val="00997BD4"/>
    <w:rsid w:val="009B0575"/>
    <w:rsid w:val="009B6FD9"/>
    <w:rsid w:val="009B70A4"/>
    <w:rsid w:val="009B7D6C"/>
    <w:rsid w:val="009C7B7E"/>
    <w:rsid w:val="009D0D78"/>
    <w:rsid w:val="009E5494"/>
    <w:rsid w:val="00A07F6D"/>
    <w:rsid w:val="00A12362"/>
    <w:rsid w:val="00A35519"/>
    <w:rsid w:val="00A50BCE"/>
    <w:rsid w:val="00A54F7F"/>
    <w:rsid w:val="00A67B76"/>
    <w:rsid w:val="00A70F76"/>
    <w:rsid w:val="00A85248"/>
    <w:rsid w:val="00AB5D86"/>
    <w:rsid w:val="00AC1807"/>
    <w:rsid w:val="00AE0079"/>
    <w:rsid w:val="00AE30AA"/>
    <w:rsid w:val="00B04F0C"/>
    <w:rsid w:val="00B101A7"/>
    <w:rsid w:val="00B10E0B"/>
    <w:rsid w:val="00B16CAF"/>
    <w:rsid w:val="00B30D20"/>
    <w:rsid w:val="00B34828"/>
    <w:rsid w:val="00B52C95"/>
    <w:rsid w:val="00B840C8"/>
    <w:rsid w:val="00B86CF8"/>
    <w:rsid w:val="00B93D04"/>
    <w:rsid w:val="00BA7381"/>
    <w:rsid w:val="00BE53AE"/>
    <w:rsid w:val="00BF1DC5"/>
    <w:rsid w:val="00BF4A74"/>
    <w:rsid w:val="00C31888"/>
    <w:rsid w:val="00C36100"/>
    <w:rsid w:val="00C51CDD"/>
    <w:rsid w:val="00C772C5"/>
    <w:rsid w:val="00C8228D"/>
    <w:rsid w:val="00C85F8E"/>
    <w:rsid w:val="00C86B65"/>
    <w:rsid w:val="00C94019"/>
    <w:rsid w:val="00CA2161"/>
    <w:rsid w:val="00CB213A"/>
    <w:rsid w:val="00CB5E30"/>
    <w:rsid w:val="00CB72F0"/>
    <w:rsid w:val="00CC7BFE"/>
    <w:rsid w:val="00CD4B2F"/>
    <w:rsid w:val="00CD6E3F"/>
    <w:rsid w:val="00CF1684"/>
    <w:rsid w:val="00CF1FBC"/>
    <w:rsid w:val="00D2323D"/>
    <w:rsid w:val="00D26543"/>
    <w:rsid w:val="00D35A05"/>
    <w:rsid w:val="00D573BC"/>
    <w:rsid w:val="00D81750"/>
    <w:rsid w:val="00D9470A"/>
    <w:rsid w:val="00D966EC"/>
    <w:rsid w:val="00D97510"/>
    <w:rsid w:val="00DB3724"/>
    <w:rsid w:val="00DB5165"/>
    <w:rsid w:val="00DE0E2C"/>
    <w:rsid w:val="00DE112E"/>
    <w:rsid w:val="00DF111F"/>
    <w:rsid w:val="00E10841"/>
    <w:rsid w:val="00E22A9C"/>
    <w:rsid w:val="00E23EF4"/>
    <w:rsid w:val="00E31727"/>
    <w:rsid w:val="00E52AD0"/>
    <w:rsid w:val="00E87992"/>
    <w:rsid w:val="00EA4C73"/>
    <w:rsid w:val="00F41C5C"/>
    <w:rsid w:val="00F56404"/>
    <w:rsid w:val="00F65551"/>
    <w:rsid w:val="00F76445"/>
    <w:rsid w:val="00F9024D"/>
    <w:rsid w:val="00FC4008"/>
    <w:rsid w:val="00FC71B1"/>
    <w:rsid w:val="00FD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DA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5299C"/>
    <w:pPr>
      <w:spacing w:before="100" w:beforeAutospacing="1" w:after="150"/>
    </w:pPr>
  </w:style>
  <w:style w:type="paragraph" w:styleId="a6">
    <w:name w:val="footnote text"/>
    <w:basedOn w:val="a"/>
    <w:link w:val="a7"/>
    <w:uiPriority w:val="99"/>
    <w:unhideWhenUsed/>
    <w:rsid w:val="00C86B65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C86B65"/>
    <w:rPr>
      <w:lang w:eastAsia="en-US"/>
    </w:rPr>
  </w:style>
  <w:style w:type="character" w:styleId="a8">
    <w:name w:val="footnote reference"/>
    <w:uiPriority w:val="99"/>
    <w:unhideWhenUsed/>
    <w:rsid w:val="00C86B6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6B6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D8175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6C32C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1"/>
    <w:uiPriority w:val="61"/>
    <w:rsid w:val="006C32C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10">
    <w:name w:val="Заголовок 1 Знак"/>
    <w:link w:val="1"/>
    <w:uiPriority w:val="9"/>
    <w:rsid w:val="00722DA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CB72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B72F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2F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72F0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B72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72F0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35A05"/>
    <w:rPr>
      <w:color w:val="0000FF"/>
      <w:u w:val="single"/>
    </w:rPr>
  </w:style>
  <w:style w:type="paragraph" w:styleId="af0">
    <w:name w:val="No Spacing"/>
    <w:uiPriority w:val="1"/>
    <w:qFormat/>
    <w:rsid w:val="000D74C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4533B9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E22A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22A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BBCD0"/>
                        <w:right w:val="none" w:sz="0" w:space="0" w:color="auto"/>
                      </w:divBdr>
                      <w:divsChild>
                        <w:div w:id="13967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2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0733">
                              <w:marLeft w:val="3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7C7C7"/>
                                <w:bottom w:val="single" w:sz="6" w:space="15" w:color="A6A6A6"/>
                                <w:right w:val="single" w:sz="6" w:space="15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mailto:rek@r-19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eesk@rosseti-ural.ru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AA69-2B9B-4604-A105-D7DD789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16820</CharactersWithSpaces>
  <SharedDoc>false</SharedDoc>
  <HLinks>
    <vt:vector size="126" baseType="variant">
      <vt:variant>
        <vt:i4>7864420</vt:i4>
      </vt:variant>
      <vt:variant>
        <vt:i4>60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48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33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21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9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tusl1</cp:lastModifiedBy>
  <cp:revision>2</cp:revision>
  <cp:lastPrinted>2022-02-24T05:28:00Z</cp:lastPrinted>
  <dcterms:created xsi:type="dcterms:W3CDTF">2022-09-02T04:42:00Z</dcterms:created>
  <dcterms:modified xsi:type="dcterms:W3CDTF">2022-09-02T04:42:00Z</dcterms:modified>
</cp:coreProperties>
</file>